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B7" w:rsidRDefault="00503898">
      <w:hyperlink r:id="rId4" w:history="1">
        <w:r w:rsidRPr="0079418B">
          <w:rPr>
            <w:rStyle w:val="Collegamentoipertestuale"/>
          </w:rPr>
          <w:t>https://www.arpa.veneto.it/arpavinforma/amministrazione-trasparente/informazioni-ambientali-1/fattori-inquinanti</w:t>
        </w:r>
      </w:hyperlink>
    </w:p>
    <w:p w:rsidR="00503898" w:rsidRDefault="00503898">
      <w:bookmarkStart w:id="0" w:name="_GoBack"/>
      <w:bookmarkEnd w:id="0"/>
    </w:p>
    <w:sectPr w:rsidR="00503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98"/>
    <w:rsid w:val="00503898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FB1F-51E3-4C9C-8755-BEDD4CB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pa.veneto.it/arpavinforma/amministrazione-trasparente/informazioni-ambientali-1/fattori-inquin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2020-06-29T07:26:00Z</dcterms:created>
  <dcterms:modified xsi:type="dcterms:W3CDTF">2020-06-29T07:26:00Z</dcterms:modified>
</cp:coreProperties>
</file>